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E2C47" w14:textId="77777777" w:rsidR="009A3CE1" w:rsidRPr="00320CB1" w:rsidRDefault="009A3CE1" w:rsidP="009A3CE1">
      <w:pPr>
        <w:jc w:val="center"/>
        <w:rPr>
          <w:b/>
        </w:rPr>
      </w:pPr>
      <w:r w:rsidRPr="00320CB1">
        <w:rPr>
          <w:b/>
        </w:rPr>
        <w:t>A Bill to Revise the Student Group Funding Board</w:t>
      </w:r>
    </w:p>
    <w:p w14:paraId="57757CED" w14:textId="77777777" w:rsidR="009A3CE1" w:rsidRPr="00320CB1" w:rsidRDefault="009A3CE1" w:rsidP="009A3CE1">
      <w:pPr>
        <w:jc w:val="center"/>
        <w:rPr>
          <w:b/>
        </w:rPr>
      </w:pPr>
      <w:r w:rsidRPr="00320CB1">
        <w:rPr>
          <w:b/>
        </w:rPr>
        <w:t>At a Glance</w:t>
      </w:r>
    </w:p>
    <w:p w14:paraId="514687D5" w14:textId="77777777" w:rsidR="009A3CE1" w:rsidRPr="00320CB1" w:rsidRDefault="009A3CE1" w:rsidP="009A3CE1">
      <w:pPr>
        <w:jc w:val="center"/>
        <w:rPr>
          <w:sz w:val="22"/>
          <w:szCs w:val="22"/>
        </w:rPr>
      </w:pPr>
    </w:p>
    <w:p w14:paraId="19D5DA43" w14:textId="77777777" w:rsidR="00285EED" w:rsidRPr="00320CB1" w:rsidRDefault="009A3CE1" w:rsidP="009A3CE1">
      <w:pPr>
        <w:pStyle w:val="ListParagraph"/>
        <w:numPr>
          <w:ilvl w:val="0"/>
          <w:numId w:val="1"/>
        </w:numPr>
        <w:rPr>
          <w:b/>
          <w:sz w:val="22"/>
          <w:szCs w:val="22"/>
        </w:rPr>
      </w:pPr>
      <w:r w:rsidRPr="00320CB1">
        <w:rPr>
          <w:b/>
          <w:sz w:val="22"/>
          <w:szCs w:val="22"/>
        </w:rPr>
        <w:t>Section 1: Addition of the word “leadership”</w:t>
      </w:r>
    </w:p>
    <w:p w14:paraId="3C22F4B0" w14:textId="0916D9DB" w:rsidR="009A3CE1" w:rsidRPr="00320CB1" w:rsidRDefault="009A3CE1" w:rsidP="009A3CE1">
      <w:pPr>
        <w:pStyle w:val="ListParagraph"/>
        <w:numPr>
          <w:ilvl w:val="1"/>
          <w:numId w:val="1"/>
        </w:numPr>
        <w:rPr>
          <w:sz w:val="22"/>
          <w:szCs w:val="22"/>
        </w:rPr>
      </w:pPr>
      <w:r w:rsidRPr="00320CB1">
        <w:rPr>
          <w:sz w:val="22"/>
          <w:szCs w:val="22"/>
        </w:rPr>
        <w:t>This is to prevent the exclusion of any member to participate in a leadership role within their student group.</w:t>
      </w:r>
      <w:r w:rsidR="00643CAA">
        <w:rPr>
          <w:sz w:val="22"/>
          <w:szCs w:val="22"/>
        </w:rPr>
        <w:t xml:space="preserve"> </w:t>
      </w:r>
    </w:p>
    <w:p w14:paraId="2411CE32" w14:textId="77777777" w:rsidR="009A3CE1" w:rsidRPr="00320CB1" w:rsidRDefault="009A3CE1" w:rsidP="009A3CE1">
      <w:pPr>
        <w:pStyle w:val="ListParagraph"/>
        <w:numPr>
          <w:ilvl w:val="0"/>
          <w:numId w:val="1"/>
        </w:numPr>
        <w:rPr>
          <w:b/>
          <w:sz w:val="22"/>
          <w:szCs w:val="22"/>
        </w:rPr>
      </w:pPr>
      <w:r w:rsidRPr="00320CB1">
        <w:rPr>
          <w:b/>
          <w:sz w:val="22"/>
          <w:szCs w:val="22"/>
        </w:rPr>
        <w:t>Section 2: Diversity Training</w:t>
      </w:r>
    </w:p>
    <w:p w14:paraId="5A2007DD" w14:textId="01650535" w:rsidR="009A3CE1" w:rsidRPr="00320CB1" w:rsidRDefault="009A3CE1" w:rsidP="009A3CE1">
      <w:pPr>
        <w:pStyle w:val="ListParagraph"/>
        <w:numPr>
          <w:ilvl w:val="1"/>
          <w:numId w:val="1"/>
        </w:numPr>
        <w:rPr>
          <w:sz w:val="22"/>
          <w:szCs w:val="22"/>
        </w:rPr>
      </w:pPr>
      <w:r w:rsidRPr="00320CB1">
        <w:rPr>
          <w:sz w:val="22"/>
          <w:szCs w:val="22"/>
        </w:rPr>
        <w:t>An addition to all Funding Board Bylaws to include Diversity Training for the members of their board to</w:t>
      </w:r>
      <w:r w:rsidR="00643CAA">
        <w:rPr>
          <w:sz w:val="22"/>
          <w:szCs w:val="22"/>
        </w:rPr>
        <w:t xml:space="preserve"> further improve campus climate, as mandated by the bill recently passed by the Tri-Executives. </w:t>
      </w:r>
    </w:p>
    <w:p w14:paraId="19DA8FDD" w14:textId="1B857582" w:rsidR="009A3CE1" w:rsidRPr="00320CB1" w:rsidRDefault="009A3CE1" w:rsidP="009A3CE1">
      <w:pPr>
        <w:pStyle w:val="ListParagraph"/>
        <w:numPr>
          <w:ilvl w:val="0"/>
          <w:numId w:val="1"/>
        </w:numPr>
        <w:rPr>
          <w:b/>
          <w:sz w:val="22"/>
          <w:szCs w:val="22"/>
        </w:rPr>
      </w:pPr>
      <w:r w:rsidRPr="00320CB1">
        <w:rPr>
          <w:b/>
          <w:sz w:val="22"/>
          <w:szCs w:val="22"/>
        </w:rPr>
        <w:t>Section</w:t>
      </w:r>
      <w:r w:rsidR="00643CAA">
        <w:rPr>
          <w:b/>
          <w:sz w:val="22"/>
          <w:szCs w:val="22"/>
        </w:rPr>
        <w:t>s</w:t>
      </w:r>
      <w:r w:rsidRPr="00320CB1">
        <w:rPr>
          <w:b/>
          <w:sz w:val="22"/>
          <w:szCs w:val="22"/>
        </w:rPr>
        <w:t xml:space="preserve"> 3 and 4: Travel</w:t>
      </w:r>
    </w:p>
    <w:p w14:paraId="70CDDE4F" w14:textId="51D60111" w:rsidR="009A3CE1" w:rsidRPr="00320CB1" w:rsidRDefault="00643CAA" w:rsidP="009A3CE1">
      <w:pPr>
        <w:pStyle w:val="ListParagraph"/>
        <w:numPr>
          <w:ilvl w:val="1"/>
          <w:numId w:val="1"/>
        </w:numPr>
        <w:rPr>
          <w:sz w:val="22"/>
          <w:szCs w:val="22"/>
        </w:rPr>
      </w:pPr>
      <w:r>
        <w:rPr>
          <w:sz w:val="22"/>
          <w:szCs w:val="22"/>
        </w:rPr>
        <w:t xml:space="preserve">Deletes the limitation on numbers of people for level 1 and 2 groups for travel. </w:t>
      </w:r>
      <w:r w:rsidR="009A3CE1" w:rsidRPr="00320CB1">
        <w:rPr>
          <w:sz w:val="22"/>
          <w:szCs w:val="22"/>
        </w:rPr>
        <w:t xml:space="preserve">This may </w:t>
      </w:r>
      <w:r>
        <w:rPr>
          <w:sz w:val="22"/>
          <w:szCs w:val="22"/>
        </w:rPr>
        <w:t>be used to fully</w:t>
      </w:r>
      <w:r w:rsidR="009A3CE1" w:rsidRPr="00320CB1">
        <w:rPr>
          <w:sz w:val="22"/>
          <w:szCs w:val="22"/>
        </w:rPr>
        <w:t xml:space="preserve"> </w:t>
      </w:r>
      <w:r>
        <w:rPr>
          <w:sz w:val="22"/>
          <w:szCs w:val="22"/>
        </w:rPr>
        <w:t>participants or to fund many participants in part in order to</w:t>
      </w:r>
      <w:r w:rsidR="009A3CE1" w:rsidRPr="00320CB1">
        <w:rPr>
          <w:sz w:val="22"/>
          <w:szCs w:val="22"/>
        </w:rPr>
        <w:t xml:space="preserve"> give more opportunity </w:t>
      </w:r>
      <w:r w:rsidR="005F36C3">
        <w:rPr>
          <w:sz w:val="22"/>
          <w:szCs w:val="22"/>
        </w:rPr>
        <w:t>for</w:t>
      </w:r>
      <w:r w:rsidR="009A3CE1" w:rsidRPr="00320CB1">
        <w:rPr>
          <w:sz w:val="22"/>
          <w:szCs w:val="22"/>
        </w:rPr>
        <w:t xml:space="preserve"> members to participate.</w:t>
      </w:r>
    </w:p>
    <w:p w14:paraId="24D6726A" w14:textId="77777777" w:rsidR="009A3CE1" w:rsidRPr="00320CB1" w:rsidRDefault="009A3CE1" w:rsidP="009A3CE1">
      <w:pPr>
        <w:pStyle w:val="ListParagraph"/>
        <w:numPr>
          <w:ilvl w:val="0"/>
          <w:numId w:val="1"/>
        </w:numPr>
        <w:rPr>
          <w:b/>
          <w:sz w:val="22"/>
          <w:szCs w:val="22"/>
        </w:rPr>
      </w:pPr>
      <w:r w:rsidRPr="00320CB1">
        <w:rPr>
          <w:b/>
          <w:sz w:val="22"/>
          <w:szCs w:val="22"/>
        </w:rPr>
        <w:t>Section 5: Funding for Events</w:t>
      </w:r>
    </w:p>
    <w:p w14:paraId="51F00DC5" w14:textId="77777777" w:rsidR="009A3CE1" w:rsidRPr="00320CB1" w:rsidRDefault="009A3CE1" w:rsidP="009A3CE1">
      <w:pPr>
        <w:pStyle w:val="ListParagraph"/>
        <w:numPr>
          <w:ilvl w:val="1"/>
          <w:numId w:val="1"/>
        </w:numPr>
        <w:rPr>
          <w:sz w:val="22"/>
          <w:szCs w:val="22"/>
        </w:rPr>
      </w:pPr>
      <w:r w:rsidRPr="00320CB1">
        <w:rPr>
          <w:sz w:val="22"/>
          <w:szCs w:val="22"/>
        </w:rPr>
        <w:t xml:space="preserve">A Level One group may only be funded for one event per year rather than </w:t>
      </w:r>
      <w:r w:rsidR="00320CB1" w:rsidRPr="00320CB1">
        <w:rPr>
          <w:sz w:val="22"/>
          <w:szCs w:val="22"/>
        </w:rPr>
        <w:t xml:space="preserve">one per </w:t>
      </w:r>
      <w:r w:rsidRPr="00320CB1">
        <w:rPr>
          <w:sz w:val="22"/>
          <w:szCs w:val="22"/>
        </w:rPr>
        <w:t xml:space="preserve">semester. </w:t>
      </w:r>
    </w:p>
    <w:p w14:paraId="06E1B19E" w14:textId="27AD336D" w:rsidR="009A3CE1" w:rsidRPr="00320CB1" w:rsidRDefault="009A3CE1" w:rsidP="009A3CE1">
      <w:pPr>
        <w:pStyle w:val="ListParagraph"/>
        <w:numPr>
          <w:ilvl w:val="1"/>
          <w:numId w:val="1"/>
        </w:numPr>
        <w:rPr>
          <w:sz w:val="22"/>
          <w:szCs w:val="22"/>
        </w:rPr>
      </w:pPr>
      <w:r w:rsidRPr="00320CB1">
        <w:rPr>
          <w:sz w:val="22"/>
          <w:szCs w:val="22"/>
        </w:rPr>
        <w:t>From a funding standpoint it serves as a trial run for the group to put on an event and then get more funding after they have been established.</w:t>
      </w:r>
    </w:p>
    <w:p w14:paraId="1B67C0D6" w14:textId="77777777" w:rsidR="009A3CE1" w:rsidRPr="00320CB1" w:rsidRDefault="009A3CE1" w:rsidP="009A3CE1">
      <w:pPr>
        <w:pStyle w:val="ListParagraph"/>
        <w:numPr>
          <w:ilvl w:val="1"/>
          <w:numId w:val="1"/>
        </w:numPr>
        <w:rPr>
          <w:sz w:val="22"/>
          <w:szCs w:val="22"/>
        </w:rPr>
      </w:pPr>
      <w:r w:rsidRPr="00320CB1">
        <w:rPr>
          <w:sz w:val="22"/>
          <w:szCs w:val="22"/>
        </w:rPr>
        <w:t xml:space="preserve">It also honors groups that have a </w:t>
      </w:r>
      <w:r w:rsidR="005524D4" w:rsidRPr="00320CB1">
        <w:rPr>
          <w:sz w:val="22"/>
          <w:szCs w:val="22"/>
        </w:rPr>
        <w:t xml:space="preserve">Level Two or higher status who have </w:t>
      </w:r>
      <w:r w:rsidRPr="00320CB1">
        <w:rPr>
          <w:sz w:val="22"/>
          <w:szCs w:val="22"/>
        </w:rPr>
        <w:t>more experience</w:t>
      </w:r>
      <w:r w:rsidR="005524D4" w:rsidRPr="00320CB1">
        <w:rPr>
          <w:sz w:val="22"/>
          <w:szCs w:val="22"/>
        </w:rPr>
        <w:t>,</w:t>
      </w:r>
      <w:r w:rsidRPr="00320CB1">
        <w:rPr>
          <w:sz w:val="22"/>
          <w:szCs w:val="22"/>
        </w:rPr>
        <w:t xml:space="preserve"> to receive funding for more events.</w:t>
      </w:r>
    </w:p>
    <w:p w14:paraId="765D86D3" w14:textId="77777777" w:rsidR="005524D4" w:rsidRPr="00320CB1" w:rsidRDefault="005524D4" w:rsidP="005524D4">
      <w:pPr>
        <w:pStyle w:val="ListParagraph"/>
        <w:numPr>
          <w:ilvl w:val="0"/>
          <w:numId w:val="1"/>
        </w:numPr>
        <w:rPr>
          <w:b/>
          <w:sz w:val="22"/>
          <w:szCs w:val="22"/>
        </w:rPr>
      </w:pPr>
      <w:r w:rsidRPr="00320CB1">
        <w:rPr>
          <w:b/>
          <w:sz w:val="22"/>
          <w:szCs w:val="22"/>
        </w:rPr>
        <w:t>Section 6: Payroll</w:t>
      </w:r>
    </w:p>
    <w:p w14:paraId="3A9A93BF" w14:textId="7518C705" w:rsidR="00643CAA" w:rsidRPr="00643CAA" w:rsidRDefault="00643CAA" w:rsidP="005524D4">
      <w:pPr>
        <w:pStyle w:val="ListParagraph"/>
        <w:numPr>
          <w:ilvl w:val="1"/>
          <w:numId w:val="1"/>
        </w:numPr>
        <w:rPr>
          <w:sz w:val="22"/>
          <w:szCs w:val="22"/>
        </w:rPr>
      </w:pPr>
      <w:r>
        <w:rPr>
          <w:sz w:val="22"/>
          <w:szCs w:val="22"/>
        </w:rPr>
        <w:t xml:space="preserve">Clarifies that group members (as opposed to other students not affiliated with the group) can be eligible for hourly pay. </w:t>
      </w:r>
    </w:p>
    <w:p w14:paraId="104E6288" w14:textId="3CFECDA3" w:rsidR="005524D4" w:rsidRPr="00320CB1" w:rsidRDefault="00643CAA" w:rsidP="005524D4">
      <w:pPr>
        <w:pStyle w:val="ListParagraph"/>
        <w:numPr>
          <w:ilvl w:val="1"/>
          <w:numId w:val="1"/>
        </w:numPr>
        <w:rPr>
          <w:sz w:val="22"/>
          <w:szCs w:val="22"/>
        </w:rPr>
      </w:pPr>
      <w:r>
        <w:rPr>
          <w:rFonts w:ascii="Times New Roman" w:eastAsia="Times New Roman" w:hAnsi="Times New Roman" w:cs="Times New Roman"/>
          <w:sz w:val="22"/>
          <w:szCs w:val="22"/>
        </w:rPr>
        <w:t xml:space="preserve">Streamlines the process for signing off on timesheets by removing the SGFB Chair and liaisons from the list of people required to sign off on timesheets, since they do not supervise the student group employees. </w:t>
      </w:r>
    </w:p>
    <w:p w14:paraId="2A26C211" w14:textId="77777777" w:rsidR="005524D4" w:rsidRPr="00320CB1" w:rsidRDefault="005524D4" w:rsidP="005524D4">
      <w:pPr>
        <w:pStyle w:val="ListParagraph"/>
        <w:numPr>
          <w:ilvl w:val="0"/>
          <w:numId w:val="1"/>
        </w:numPr>
        <w:rPr>
          <w:b/>
          <w:sz w:val="22"/>
          <w:szCs w:val="22"/>
        </w:rPr>
      </w:pPr>
      <w:r w:rsidRPr="00320CB1">
        <w:rPr>
          <w:rFonts w:ascii="Times New Roman" w:eastAsia="Times New Roman" w:hAnsi="Times New Roman" w:cs="Times New Roman"/>
          <w:b/>
          <w:sz w:val="22"/>
          <w:szCs w:val="22"/>
        </w:rPr>
        <w:t>Section 7: Contract Work</w:t>
      </w:r>
    </w:p>
    <w:p w14:paraId="7178BC47" w14:textId="624F2826" w:rsidR="005524D4" w:rsidRPr="00320CB1" w:rsidRDefault="00643CAA" w:rsidP="00643CAA">
      <w:pPr>
        <w:pStyle w:val="ListParagraph"/>
        <w:widowControl w:val="0"/>
        <w:numPr>
          <w:ilvl w:val="0"/>
          <w:numId w:val="2"/>
        </w:numPr>
        <w:rPr>
          <w:sz w:val="22"/>
          <w:szCs w:val="22"/>
        </w:rPr>
      </w:pPr>
      <w:r>
        <w:rPr>
          <w:rFonts w:ascii="Times New Roman" w:eastAsia="Times New Roman" w:hAnsi="Times New Roman" w:cs="Times New Roman"/>
          <w:sz w:val="22"/>
          <w:szCs w:val="22"/>
        </w:rPr>
        <w:t xml:space="preserve">Defines contract work, making a distinction between group members who may be on payroll and non-group members. </w:t>
      </w:r>
      <w:r w:rsidR="005524D4" w:rsidRPr="00320CB1">
        <w:rPr>
          <w:rFonts w:ascii="Times New Roman" w:eastAsia="Times New Roman" w:hAnsi="Times New Roman" w:cs="Times New Roman"/>
          <w:sz w:val="22"/>
          <w:szCs w:val="22"/>
        </w:rPr>
        <w:t xml:space="preserve">This allows </w:t>
      </w:r>
      <w:r w:rsidR="009935BB" w:rsidRPr="00320CB1">
        <w:rPr>
          <w:rFonts w:ascii="Times New Roman" w:eastAsia="Times New Roman" w:hAnsi="Times New Roman" w:cs="Times New Roman"/>
          <w:sz w:val="22"/>
          <w:szCs w:val="22"/>
        </w:rPr>
        <w:t xml:space="preserve">student </w:t>
      </w:r>
      <w:r w:rsidR="005524D4" w:rsidRPr="00320CB1">
        <w:rPr>
          <w:rFonts w:ascii="Times New Roman" w:eastAsia="Times New Roman" w:hAnsi="Times New Roman" w:cs="Times New Roman"/>
          <w:sz w:val="22"/>
          <w:szCs w:val="22"/>
        </w:rPr>
        <w:t>groups to pay for</w:t>
      </w:r>
      <w:r w:rsidR="009935BB" w:rsidRPr="00320CB1">
        <w:rPr>
          <w:rFonts w:ascii="Times New Roman" w:eastAsia="Times New Roman" w:hAnsi="Times New Roman" w:cs="Times New Roman"/>
          <w:sz w:val="22"/>
          <w:szCs w:val="22"/>
        </w:rPr>
        <w:t xml:space="preserve"> outside services</w:t>
      </w:r>
      <w:r>
        <w:rPr>
          <w:rFonts w:ascii="Times New Roman" w:eastAsia="Times New Roman" w:hAnsi="Times New Roman" w:cs="Times New Roman"/>
          <w:sz w:val="22"/>
          <w:szCs w:val="22"/>
        </w:rPr>
        <w:t>, especially those that would help with advertising</w:t>
      </w:r>
      <w:proofErr w:type="gramStart"/>
      <w:r>
        <w:rPr>
          <w:rFonts w:ascii="Times New Roman" w:eastAsia="Times New Roman" w:hAnsi="Times New Roman" w:cs="Times New Roman"/>
          <w:sz w:val="22"/>
          <w:szCs w:val="22"/>
        </w:rPr>
        <w:t xml:space="preserve">, </w:t>
      </w:r>
      <w:r w:rsidR="009935BB" w:rsidRPr="00320CB1">
        <w:rPr>
          <w:rFonts w:ascii="Times New Roman" w:eastAsia="Times New Roman" w:hAnsi="Times New Roman" w:cs="Times New Roman"/>
          <w:sz w:val="22"/>
          <w:szCs w:val="22"/>
        </w:rPr>
        <w:t xml:space="preserve"> that</w:t>
      </w:r>
      <w:proofErr w:type="gramEnd"/>
      <w:r w:rsidR="009935BB" w:rsidRPr="00320CB1">
        <w:rPr>
          <w:rFonts w:ascii="Times New Roman" w:eastAsia="Times New Roman" w:hAnsi="Times New Roman" w:cs="Times New Roman"/>
          <w:sz w:val="22"/>
          <w:szCs w:val="22"/>
        </w:rPr>
        <w:t xml:space="preserve"> further the mission of their student group</w:t>
      </w:r>
      <w:r>
        <w:rPr>
          <w:rFonts w:ascii="Times New Roman" w:eastAsia="Times New Roman" w:hAnsi="Times New Roman" w:cs="Times New Roman"/>
          <w:sz w:val="22"/>
          <w:szCs w:val="22"/>
        </w:rPr>
        <w:t xml:space="preserve">. </w:t>
      </w:r>
    </w:p>
    <w:p w14:paraId="71C13055" w14:textId="77777777" w:rsidR="009935BB" w:rsidRPr="00320CB1" w:rsidRDefault="009935BB" w:rsidP="009935BB">
      <w:pPr>
        <w:pStyle w:val="ListParagraph"/>
        <w:numPr>
          <w:ilvl w:val="0"/>
          <w:numId w:val="1"/>
        </w:numPr>
        <w:rPr>
          <w:b/>
          <w:sz w:val="22"/>
          <w:szCs w:val="22"/>
        </w:rPr>
      </w:pPr>
      <w:r w:rsidRPr="00320CB1">
        <w:rPr>
          <w:rFonts w:ascii="Times New Roman" w:eastAsia="Times New Roman" w:hAnsi="Times New Roman" w:cs="Times New Roman"/>
          <w:b/>
          <w:sz w:val="22"/>
          <w:szCs w:val="22"/>
        </w:rPr>
        <w:t>Section 8: Board Membership</w:t>
      </w:r>
    </w:p>
    <w:p w14:paraId="30FA41D2" w14:textId="764AE713" w:rsidR="005F36C3" w:rsidRPr="005F36C3" w:rsidRDefault="005F36C3" w:rsidP="009935BB">
      <w:pPr>
        <w:pStyle w:val="ListParagraph"/>
        <w:numPr>
          <w:ilvl w:val="1"/>
          <w:numId w:val="1"/>
        </w:numPr>
        <w:rPr>
          <w:sz w:val="22"/>
          <w:szCs w:val="22"/>
        </w:rPr>
      </w:pPr>
      <w:r>
        <w:rPr>
          <w:sz w:val="22"/>
          <w:szCs w:val="22"/>
        </w:rPr>
        <w:t xml:space="preserve">Deletes the requirement for 2 student members appointed by SOFO, who were voting members but unpaid. To make up for the loss of these voting members, one more paid Student-at-Large is added. </w:t>
      </w:r>
    </w:p>
    <w:p w14:paraId="7956DD4E" w14:textId="77777777" w:rsidR="009935BB" w:rsidRPr="005F36C3" w:rsidRDefault="009935BB" w:rsidP="009935BB">
      <w:pPr>
        <w:pStyle w:val="ListParagraph"/>
        <w:numPr>
          <w:ilvl w:val="0"/>
          <w:numId w:val="1"/>
        </w:numPr>
        <w:rPr>
          <w:b/>
          <w:sz w:val="22"/>
          <w:szCs w:val="22"/>
        </w:rPr>
      </w:pPr>
      <w:r w:rsidRPr="00320CB1">
        <w:rPr>
          <w:rFonts w:ascii="Times New Roman" w:eastAsia="Times New Roman" w:hAnsi="Times New Roman" w:cs="Times New Roman"/>
          <w:b/>
          <w:sz w:val="22"/>
          <w:szCs w:val="22"/>
        </w:rPr>
        <w:t xml:space="preserve">Section 9: </w:t>
      </w:r>
    </w:p>
    <w:p w14:paraId="328FC66E" w14:textId="4D3CB232" w:rsidR="005F36C3" w:rsidRPr="00320CB1" w:rsidRDefault="005F36C3" w:rsidP="005F36C3">
      <w:pPr>
        <w:pStyle w:val="ListParagraph"/>
        <w:numPr>
          <w:ilvl w:val="1"/>
          <w:numId w:val="1"/>
        </w:numPr>
        <w:rPr>
          <w:b/>
          <w:sz w:val="22"/>
          <w:szCs w:val="22"/>
        </w:rPr>
      </w:pPr>
      <w:r>
        <w:rPr>
          <w:rFonts w:ascii="Times New Roman" w:eastAsia="Times New Roman" w:hAnsi="Times New Roman" w:cs="Times New Roman"/>
          <w:sz w:val="22"/>
          <w:szCs w:val="22"/>
        </w:rPr>
        <w:t xml:space="preserve">Clarifies that the liaisons are voting members.  </w:t>
      </w:r>
    </w:p>
    <w:p w14:paraId="1474E89C" w14:textId="77777777" w:rsidR="009935BB" w:rsidRPr="00320CB1" w:rsidRDefault="009935BB" w:rsidP="009935BB">
      <w:pPr>
        <w:pStyle w:val="ListParagraph"/>
        <w:numPr>
          <w:ilvl w:val="0"/>
          <w:numId w:val="1"/>
        </w:numPr>
        <w:rPr>
          <w:b/>
          <w:sz w:val="22"/>
          <w:szCs w:val="22"/>
        </w:rPr>
      </w:pPr>
      <w:r w:rsidRPr="00320CB1">
        <w:rPr>
          <w:b/>
          <w:sz w:val="22"/>
          <w:szCs w:val="22"/>
        </w:rPr>
        <w:t xml:space="preserve">Section 10: Board Voting </w:t>
      </w:r>
    </w:p>
    <w:p w14:paraId="47B6C0CE" w14:textId="4989E97C" w:rsidR="009935BB" w:rsidRPr="00320CB1" w:rsidRDefault="005F36C3" w:rsidP="009935BB">
      <w:pPr>
        <w:pStyle w:val="ListParagraph"/>
        <w:numPr>
          <w:ilvl w:val="1"/>
          <w:numId w:val="1"/>
        </w:numPr>
        <w:rPr>
          <w:sz w:val="22"/>
          <w:szCs w:val="22"/>
        </w:rPr>
      </w:pPr>
      <w:r>
        <w:rPr>
          <w:sz w:val="22"/>
          <w:szCs w:val="22"/>
        </w:rPr>
        <w:t xml:space="preserve">Clarifies who the voting members are, taking into account the additional student-at-large and the loss of the SOFO members, as discussed in Section 8. </w:t>
      </w:r>
    </w:p>
    <w:p w14:paraId="490F875C" w14:textId="77777777" w:rsidR="0005136C" w:rsidRPr="00320CB1" w:rsidRDefault="0005136C" w:rsidP="0005136C">
      <w:pPr>
        <w:pStyle w:val="ListParagraph"/>
        <w:numPr>
          <w:ilvl w:val="0"/>
          <w:numId w:val="1"/>
        </w:numPr>
        <w:rPr>
          <w:b/>
          <w:sz w:val="22"/>
          <w:szCs w:val="22"/>
        </w:rPr>
      </w:pPr>
      <w:r w:rsidRPr="00320CB1">
        <w:rPr>
          <w:b/>
          <w:sz w:val="22"/>
          <w:szCs w:val="22"/>
        </w:rPr>
        <w:t>Section 11:  General Members</w:t>
      </w:r>
    </w:p>
    <w:p w14:paraId="73C8BD2B" w14:textId="77777777" w:rsidR="0005136C" w:rsidRPr="00320CB1" w:rsidRDefault="0005136C" w:rsidP="0005136C">
      <w:pPr>
        <w:pStyle w:val="ListParagraph"/>
        <w:numPr>
          <w:ilvl w:val="1"/>
          <w:numId w:val="1"/>
        </w:numPr>
        <w:rPr>
          <w:sz w:val="22"/>
          <w:szCs w:val="22"/>
        </w:rPr>
      </w:pPr>
      <w:r w:rsidRPr="00320CB1">
        <w:rPr>
          <w:sz w:val="22"/>
          <w:szCs w:val="22"/>
        </w:rPr>
        <w:t>Clarification on who General Non-Voting Members are</w:t>
      </w:r>
    </w:p>
    <w:p w14:paraId="770E1846" w14:textId="77777777" w:rsidR="0065077C" w:rsidRPr="00320CB1" w:rsidRDefault="0005136C" w:rsidP="0065077C">
      <w:pPr>
        <w:pStyle w:val="ListParagraph"/>
        <w:numPr>
          <w:ilvl w:val="0"/>
          <w:numId w:val="1"/>
        </w:numPr>
        <w:rPr>
          <w:b/>
          <w:sz w:val="22"/>
          <w:szCs w:val="22"/>
        </w:rPr>
      </w:pPr>
      <w:r w:rsidRPr="00320CB1">
        <w:rPr>
          <w:b/>
          <w:sz w:val="22"/>
          <w:szCs w:val="22"/>
        </w:rPr>
        <w:t xml:space="preserve">Section 12: </w:t>
      </w:r>
      <w:r w:rsidR="0065077C" w:rsidRPr="00320CB1">
        <w:rPr>
          <w:b/>
          <w:sz w:val="22"/>
          <w:szCs w:val="22"/>
        </w:rPr>
        <w:t>Hearing Schedule Changes</w:t>
      </w:r>
    </w:p>
    <w:p w14:paraId="72C626CB" w14:textId="54B7BB0D" w:rsidR="00320CB1" w:rsidRPr="00320CB1" w:rsidRDefault="0065077C" w:rsidP="0065077C">
      <w:pPr>
        <w:pStyle w:val="ListParagraph"/>
        <w:numPr>
          <w:ilvl w:val="1"/>
          <w:numId w:val="1"/>
        </w:numPr>
        <w:rPr>
          <w:sz w:val="22"/>
          <w:szCs w:val="22"/>
        </w:rPr>
      </w:pPr>
      <w:r w:rsidRPr="00320CB1">
        <w:rPr>
          <w:sz w:val="22"/>
          <w:szCs w:val="22"/>
        </w:rPr>
        <w:t>Cl</w:t>
      </w:r>
      <w:r w:rsidR="005F36C3">
        <w:rPr>
          <w:sz w:val="22"/>
          <w:szCs w:val="22"/>
        </w:rPr>
        <w:t>arifying the h</w:t>
      </w:r>
      <w:r w:rsidR="00320CB1" w:rsidRPr="00320CB1">
        <w:rPr>
          <w:sz w:val="22"/>
          <w:szCs w:val="22"/>
        </w:rPr>
        <w:t>earing process</w:t>
      </w:r>
      <w:r w:rsidR="005F36C3">
        <w:rPr>
          <w:sz w:val="22"/>
          <w:szCs w:val="22"/>
        </w:rPr>
        <w:t xml:space="preserve">, based on changes made earlier this year that made second-hearings optional for SGFB. </w:t>
      </w:r>
    </w:p>
    <w:p w14:paraId="1BBC1961" w14:textId="77777777" w:rsidR="009935BB" w:rsidRDefault="009935BB" w:rsidP="009935BB">
      <w:pPr>
        <w:pStyle w:val="ListParagraph"/>
        <w:ind w:left="1440"/>
      </w:pPr>
      <w:bookmarkStart w:id="0" w:name="_GoBack"/>
      <w:bookmarkEnd w:id="0"/>
    </w:p>
    <w:p w14:paraId="1A266CFE" w14:textId="77777777" w:rsidR="009A3CE1" w:rsidRDefault="009A3CE1" w:rsidP="009A3CE1">
      <w:pPr>
        <w:pStyle w:val="ListParagraph"/>
        <w:ind w:left="1440"/>
      </w:pPr>
    </w:p>
    <w:p w14:paraId="4F2FFC14" w14:textId="77777777" w:rsidR="009A3CE1" w:rsidRDefault="009A3CE1" w:rsidP="009A3CE1">
      <w:r>
        <w:tab/>
      </w:r>
    </w:p>
    <w:p w14:paraId="671AD5FB" w14:textId="77777777" w:rsidR="009A3CE1" w:rsidRDefault="009A3CE1" w:rsidP="008C7309"/>
    <w:sectPr w:rsidR="009A3CE1" w:rsidSect="00320CB1">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7BA6"/>
    <w:multiLevelType w:val="hybridMultilevel"/>
    <w:tmpl w:val="C096C1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BB07B1"/>
    <w:multiLevelType w:val="hybridMultilevel"/>
    <w:tmpl w:val="7DF0C1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E1"/>
    <w:rsid w:val="0005136C"/>
    <w:rsid w:val="00285EED"/>
    <w:rsid w:val="00320CB1"/>
    <w:rsid w:val="005524D4"/>
    <w:rsid w:val="005F36C3"/>
    <w:rsid w:val="00643CAA"/>
    <w:rsid w:val="0065077C"/>
    <w:rsid w:val="008C7309"/>
    <w:rsid w:val="009935BB"/>
    <w:rsid w:val="009A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121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Lacy</dc:creator>
  <cp:lastModifiedBy>Erin Samantha Greenhalgh</cp:lastModifiedBy>
  <cp:revision>2</cp:revision>
  <dcterms:created xsi:type="dcterms:W3CDTF">2014-04-23T20:02:00Z</dcterms:created>
  <dcterms:modified xsi:type="dcterms:W3CDTF">2014-04-23T20:02:00Z</dcterms:modified>
</cp:coreProperties>
</file>